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E91" w:rsidRDefault="00EC6E91">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C6E91" w:rsidRDefault="00EC6E91">
      <w:pPr>
        <w:pStyle w:val="ConsPlusNormal"/>
        <w:ind w:firstLine="540"/>
        <w:jc w:val="both"/>
        <w:outlineLvl w:val="0"/>
      </w:pPr>
    </w:p>
    <w:p w:rsidR="00EC6E91" w:rsidRDefault="00EC6E91">
      <w:pPr>
        <w:pStyle w:val="ConsPlusTitle"/>
        <w:jc w:val="center"/>
      </w:pPr>
      <w:r>
        <w:t>ВЕРХОВНЫЙ СУД РОССИЙСКОЙ ФЕДЕРАЦИИ</w:t>
      </w:r>
    </w:p>
    <w:p w:rsidR="00EC6E91" w:rsidRDefault="00EC6E91">
      <w:pPr>
        <w:pStyle w:val="ConsPlusTitle"/>
        <w:jc w:val="center"/>
      </w:pPr>
    </w:p>
    <w:p w:rsidR="00EC6E91" w:rsidRDefault="00EC6E91">
      <w:pPr>
        <w:pStyle w:val="ConsPlusTitle"/>
        <w:jc w:val="center"/>
      </w:pPr>
      <w:r>
        <w:t>ОПРЕДЕЛЕНИЕ</w:t>
      </w:r>
    </w:p>
    <w:p w:rsidR="00EC6E91" w:rsidRDefault="00EC6E91">
      <w:pPr>
        <w:pStyle w:val="ConsPlusTitle"/>
        <w:jc w:val="center"/>
      </w:pPr>
      <w:r>
        <w:t>от 25 марта 2025 г. N 305-ЭС24-20(2)</w:t>
      </w:r>
    </w:p>
    <w:p w:rsidR="00EC6E91" w:rsidRDefault="00EC6E91">
      <w:pPr>
        <w:pStyle w:val="ConsPlusNormal"/>
        <w:jc w:val="both"/>
      </w:pPr>
    </w:p>
    <w:p w:rsidR="00EC6E91" w:rsidRDefault="00EC6E91">
      <w:pPr>
        <w:pStyle w:val="ConsPlusNormal"/>
        <w:ind w:firstLine="540"/>
        <w:jc w:val="both"/>
      </w:pPr>
      <w:r>
        <w:t>Резолютивная часть определения объявлена 24 марта 2025 г.</w:t>
      </w:r>
    </w:p>
    <w:p w:rsidR="00EC6E91" w:rsidRDefault="00EC6E91">
      <w:pPr>
        <w:pStyle w:val="ConsPlusNormal"/>
        <w:spacing w:before="220"/>
        <w:ind w:firstLine="540"/>
        <w:jc w:val="both"/>
      </w:pPr>
      <w:r>
        <w:t>Полный текст определения изготовлен 25 марта 2025 г.</w:t>
      </w:r>
    </w:p>
    <w:p w:rsidR="00EC6E91" w:rsidRDefault="00EC6E91">
      <w:pPr>
        <w:pStyle w:val="ConsPlusNormal"/>
        <w:spacing w:before="220"/>
        <w:ind w:firstLine="540"/>
        <w:jc w:val="both"/>
      </w:pPr>
      <w:r>
        <w:t>Судебная коллегия по экономическим спорам Верховного Суда Российской Федерации в составе:</w:t>
      </w:r>
    </w:p>
    <w:p w:rsidR="00EC6E91" w:rsidRDefault="00EC6E91">
      <w:pPr>
        <w:pStyle w:val="ConsPlusNormal"/>
        <w:spacing w:before="220"/>
        <w:ind w:firstLine="540"/>
        <w:jc w:val="both"/>
      </w:pPr>
      <w:r>
        <w:t>председательствующего судьи Шилохвоста О.Ю.,</w:t>
      </w:r>
    </w:p>
    <w:p w:rsidR="00EC6E91" w:rsidRDefault="00EC6E91">
      <w:pPr>
        <w:pStyle w:val="ConsPlusNormal"/>
        <w:spacing w:before="220"/>
        <w:ind w:firstLine="540"/>
        <w:jc w:val="both"/>
      </w:pPr>
      <w:r>
        <w:t xml:space="preserve">судей Зарубиной Е.Н., </w:t>
      </w:r>
      <w:proofErr w:type="spellStart"/>
      <w:r>
        <w:t>Кирейковой</w:t>
      </w:r>
      <w:proofErr w:type="spellEnd"/>
      <w:r>
        <w:t xml:space="preserve"> Г.Г., -</w:t>
      </w:r>
    </w:p>
    <w:p w:rsidR="00EC6E91" w:rsidRDefault="00EC6E91">
      <w:pPr>
        <w:pStyle w:val="ConsPlusNormal"/>
        <w:spacing w:before="220"/>
        <w:ind w:firstLine="540"/>
        <w:jc w:val="both"/>
      </w:pPr>
      <w:r>
        <w:t xml:space="preserve">рассмотрела в открытом судебном заседании кассационную жалобу акционерного общества "Объединенная двигателестроительная корпорация" на </w:t>
      </w:r>
      <w:hyperlink r:id="rId5">
        <w:r>
          <w:rPr>
            <w:color w:val="0000FF"/>
          </w:rPr>
          <w:t>решение</w:t>
        </w:r>
      </w:hyperlink>
      <w:r>
        <w:t xml:space="preserve"> Арбитражного суда города Москвы от 13 мая 2024 г. по делу N А40-51745/23, </w:t>
      </w:r>
      <w:hyperlink r:id="rId6">
        <w:r>
          <w:rPr>
            <w:color w:val="0000FF"/>
          </w:rPr>
          <w:t>постановление</w:t>
        </w:r>
      </w:hyperlink>
      <w:r>
        <w:t xml:space="preserve"> Девятого арбитражного апелляционного суда от 15 августа 2024 г. и </w:t>
      </w:r>
      <w:hyperlink r:id="rId7">
        <w:r>
          <w:rPr>
            <w:color w:val="0000FF"/>
          </w:rPr>
          <w:t>постановление</w:t>
        </w:r>
      </w:hyperlink>
      <w:r>
        <w:t xml:space="preserve"> Арбитражного суда Московского округа от 1 ноября 2024 г.</w:t>
      </w:r>
    </w:p>
    <w:p w:rsidR="00EC6E91" w:rsidRDefault="00EC6E91">
      <w:pPr>
        <w:pStyle w:val="ConsPlusNormal"/>
        <w:spacing w:before="220"/>
        <w:ind w:firstLine="540"/>
        <w:jc w:val="both"/>
      </w:pPr>
      <w:r>
        <w:t>В заседании приняли участие представители:</w:t>
      </w:r>
    </w:p>
    <w:p w:rsidR="00EC6E91" w:rsidRDefault="00EC6E91">
      <w:pPr>
        <w:pStyle w:val="ConsPlusNormal"/>
        <w:spacing w:before="220"/>
        <w:ind w:firstLine="540"/>
        <w:jc w:val="both"/>
      </w:pPr>
      <w:r>
        <w:t xml:space="preserve">акционерного общества "Объединенная двигателестроительная корпорация" - </w:t>
      </w:r>
      <w:proofErr w:type="spellStart"/>
      <w:r>
        <w:t>Громилов</w:t>
      </w:r>
      <w:proofErr w:type="spellEnd"/>
      <w:r>
        <w:t xml:space="preserve"> В.И. (по доверенности от 27 мая 2022 г. N 203), Маслов М.И. (по доверенности от 19 февраля 2025 г. N 31);</w:t>
      </w:r>
    </w:p>
    <w:p w:rsidR="00EC6E91" w:rsidRDefault="00EC6E91">
      <w:pPr>
        <w:pStyle w:val="ConsPlusNormal"/>
        <w:spacing w:before="220"/>
        <w:ind w:firstLine="540"/>
        <w:jc w:val="both"/>
      </w:pPr>
      <w:r>
        <w:t xml:space="preserve">акционерного общества "Мосводоканал" - </w:t>
      </w:r>
      <w:proofErr w:type="spellStart"/>
      <w:r>
        <w:t>Чумиков</w:t>
      </w:r>
      <w:proofErr w:type="spellEnd"/>
      <w:r>
        <w:t xml:space="preserve"> В.В. (по доверенности от 28 декабря 2024 г. N (</w:t>
      </w:r>
      <w:proofErr w:type="gramStart"/>
      <w:r>
        <w:t>30)01.08</w:t>
      </w:r>
      <w:proofErr w:type="gramEnd"/>
      <w:r>
        <w:t>-1352/2).</w:t>
      </w:r>
    </w:p>
    <w:p w:rsidR="00EC6E91" w:rsidRDefault="00EC6E91">
      <w:pPr>
        <w:pStyle w:val="ConsPlusNormal"/>
        <w:spacing w:before="220"/>
        <w:ind w:firstLine="540"/>
        <w:jc w:val="both"/>
      </w:pPr>
      <w:r>
        <w:t>Заслушав и обсудив доклад судьи Верховного Суда Российской Федерации Шилохвоста О.Ю., а также объяснения представителей истца и ответчика, Судебная коллегия по экономическим спорам Верховного Суда Российской Федерации</w:t>
      </w:r>
    </w:p>
    <w:p w:rsidR="00EC6E91" w:rsidRDefault="00EC6E91">
      <w:pPr>
        <w:pStyle w:val="ConsPlusNormal"/>
        <w:jc w:val="center"/>
      </w:pPr>
    </w:p>
    <w:p w:rsidR="00EC6E91" w:rsidRDefault="00EC6E91">
      <w:pPr>
        <w:pStyle w:val="ConsPlusNormal"/>
        <w:jc w:val="center"/>
      </w:pPr>
      <w:r>
        <w:t>установила:</w:t>
      </w:r>
    </w:p>
    <w:p w:rsidR="00EC6E91" w:rsidRDefault="00EC6E91">
      <w:pPr>
        <w:pStyle w:val="ConsPlusNormal"/>
        <w:jc w:val="center"/>
      </w:pPr>
    </w:p>
    <w:p w:rsidR="00EC6E91" w:rsidRDefault="00EC6E91">
      <w:pPr>
        <w:pStyle w:val="ConsPlusNormal"/>
        <w:ind w:firstLine="540"/>
        <w:jc w:val="both"/>
      </w:pPr>
      <w:r>
        <w:t>акционерное общество "Мосводоканал" (далее - общество) обратилось в арбитражный суд с иском к акционерному обществу "Объединенная двигателестроительная корпорация" (далее - корпорация) о взыскании 2 523 464 руб. 54 коп. платы за сброс загрязняющих веществ в составе сточных вод сверх установленных нормативов.</w:t>
      </w:r>
    </w:p>
    <w:p w:rsidR="00EC6E91" w:rsidRDefault="00EC6E91">
      <w:pPr>
        <w:pStyle w:val="ConsPlusNormal"/>
        <w:spacing w:before="220"/>
        <w:ind w:firstLine="540"/>
        <w:jc w:val="both"/>
      </w:pPr>
      <w:hyperlink r:id="rId8">
        <w:r>
          <w:rPr>
            <w:color w:val="0000FF"/>
          </w:rPr>
          <w:t>Решением</w:t>
        </w:r>
      </w:hyperlink>
      <w:r>
        <w:t xml:space="preserve"> Арбитражного суда города Москвы от 18 апреля 2023 г., оставленным без изменения </w:t>
      </w:r>
      <w:hyperlink r:id="rId9">
        <w:r>
          <w:rPr>
            <w:color w:val="0000FF"/>
          </w:rPr>
          <w:t>постановлением</w:t>
        </w:r>
      </w:hyperlink>
      <w:r>
        <w:t xml:space="preserve"> Девятого арбитражного апелляционного суда от 11 июля 2023 г., в удовлетворении иска отказано.</w:t>
      </w:r>
    </w:p>
    <w:p w:rsidR="00EC6E91" w:rsidRDefault="00EC6E91">
      <w:pPr>
        <w:pStyle w:val="ConsPlusNormal"/>
        <w:spacing w:before="220"/>
        <w:ind w:firstLine="540"/>
        <w:jc w:val="both"/>
      </w:pPr>
      <w:hyperlink r:id="rId10">
        <w:r>
          <w:rPr>
            <w:color w:val="0000FF"/>
          </w:rPr>
          <w:t>Постановлением</w:t>
        </w:r>
      </w:hyperlink>
      <w:r>
        <w:t xml:space="preserve"> Арбитражного суда Московского округа от 11 декабря 2023 г. </w:t>
      </w:r>
      <w:hyperlink r:id="rId11">
        <w:r>
          <w:rPr>
            <w:color w:val="0000FF"/>
          </w:rPr>
          <w:t>решение</w:t>
        </w:r>
      </w:hyperlink>
      <w:r>
        <w:t xml:space="preserve"> от 18 апреля 2023 г. и </w:t>
      </w:r>
      <w:hyperlink r:id="rId12">
        <w:r>
          <w:rPr>
            <w:color w:val="0000FF"/>
          </w:rPr>
          <w:t>постановление</w:t>
        </w:r>
      </w:hyperlink>
      <w:r>
        <w:t xml:space="preserve"> от 11 июля 2023 г. отменены, дело направлено на новое рассмотрение в Арбитражный суд города Москвы.</w:t>
      </w:r>
    </w:p>
    <w:p w:rsidR="00EC6E91" w:rsidRDefault="00EC6E91">
      <w:pPr>
        <w:pStyle w:val="ConsPlusNormal"/>
        <w:spacing w:before="220"/>
        <w:ind w:firstLine="540"/>
        <w:jc w:val="both"/>
      </w:pPr>
      <w:r>
        <w:t xml:space="preserve">При новом рассмотрении спора </w:t>
      </w:r>
      <w:hyperlink r:id="rId13">
        <w:r>
          <w:rPr>
            <w:color w:val="0000FF"/>
          </w:rPr>
          <w:t>решением</w:t>
        </w:r>
      </w:hyperlink>
      <w:r>
        <w:t xml:space="preserve"> Арбитражного суда города Москвы от 13 мая 2024 г., оставленным без изменения </w:t>
      </w:r>
      <w:hyperlink r:id="rId14">
        <w:r>
          <w:rPr>
            <w:color w:val="0000FF"/>
          </w:rPr>
          <w:t>постановлением</w:t>
        </w:r>
      </w:hyperlink>
      <w:r>
        <w:t xml:space="preserve"> Девятого арбитражного апелляционного суда от 15 августа 2024 г. и </w:t>
      </w:r>
      <w:hyperlink r:id="rId15">
        <w:r>
          <w:rPr>
            <w:color w:val="0000FF"/>
          </w:rPr>
          <w:t>постановлением</w:t>
        </w:r>
      </w:hyperlink>
      <w:r>
        <w:t xml:space="preserve"> Арбитражного суда Московского округа от 1 ноября 2024 г., иск </w:t>
      </w:r>
      <w:r>
        <w:lastRenderedPageBreak/>
        <w:t>удовлетворен.</w:t>
      </w:r>
    </w:p>
    <w:p w:rsidR="00EC6E91" w:rsidRDefault="00EC6E91">
      <w:pPr>
        <w:pStyle w:val="ConsPlusNormal"/>
        <w:spacing w:before="220"/>
        <w:ind w:firstLine="540"/>
        <w:jc w:val="both"/>
      </w:pPr>
      <w:r>
        <w:t xml:space="preserve">Корпорация 20 ноября 2024 г. обратилась в Верховный Суд Российской Федерации с кассационной жалобой, в которой просит </w:t>
      </w:r>
      <w:hyperlink r:id="rId16">
        <w:r>
          <w:rPr>
            <w:color w:val="0000FF"/>
          </w:rPr>
          <w:t>решение</w:t>
        </w:r>
      </w:hyperlink>
      <w:r>
        <w:t xml:space="preserve"> от 13 мая 2024 г., </w:t>
      </w:r>
      <w:hyperlink r:id="rId17">
        <w:r>
          <w:rPr>
            <w:color w:val="0000FF"/>
          </w:rPr>
          <w:t>постановление</w:t>
        </w:r>
      </w:hyperlink>
      <w:r>
        <w:t xml:space="preserve"> от 15 августа 2024 г. и </w:t>
      </w:r>
      <w:hyperlink r:id="rId18">
        <w:r>
          <w:rPr>
            <w:color w:val="0000FF"/>
          </w:rPr>
          <w:t>постановление</w:t>
        </w:r>
      </w:hyperlink>
      <w:r>
        <w:t xml:space="preserve"> от 1 ноября 2024 г. отменить, ссылаясь на существенные нарушения судами норм материального права, повлиявшие на исход дела, </w:t>
      </w:r>
      <w:hyperlink r:id="rId19">
        <w:r>
          <w:rPr>
            <w:color w:val="0000FF"/>
          </w:rPr>
          <w:t>решение</w:t>
        </w:r>
      </w:hyperlink>
      <w:r>
        <w:t xml:space="preserve"> от 18 апреля 2023 г. и </w:t>
      </w:r>
      <w:hyperlink r:id="rId20">
        <w:r>
          <w:rPr>
            <w:color w:val="0000FF"/>
          </w:rPr>
          <w:t>постановление</w:t>
        </w:r>
      </w:hyperlink>
      <w:r>
        <w:t xml:space="preserve"> от 11 июля 2023 г. оставить без изменения.</w:t>
      </w:r>
    </w:p>
    <w:p w:rsidR="00EC6E91" w:rsidRDefault="00EC6E91">
      <w:pPr>
        <w:pStyle w:val="ConsPlusNormal"/>
        <w:spacing w:before="220"/>
        <w:ind w:firstLine="540"/>
        <w:jc w:val="both"/>
      </w:pPr>
      <w:r>
        <w:t xml:space="preserve">В кассационной жалобе корпорация, ссылаясь на соблюдение установленного </w:t>
      </w:r>
      <w:hyperlink r:id="rId21">
        <w:r>
          <w:rPr>
            <w:color w:val="0000FF"/>
          </w:rPr>
          <w:t>пунктом 130(3)</w:t>
        </w:r>
      </w:hyperlink>
      <w:r>
        <w:t xml:space="preserve"> Правил холодного водоснабжения и водоотведения, утвержденных постановлением Правительства Российской Федерации от 29 июля 2013 г. N 644 (далее - Правила холодного водоснабжения), срока подачи корректирующей декларации, настаивает на том, что в соответствии с </w:t>
      </w:r>
      <w:hyperlink r:id="rId22">
        <w:r>
          <w:rPr>
            <w:color w:val="0000FF"/>
          </w:rPr>
          <w:t>пунктом 195</w:t>
        </w:r>
      </w:hyperlink>
      <w:r>
        <w:t xml:space="preserve"> названных Правил в течение трех месяцев со дня опубликования решения уполномоченного органа об установлении или корректировке нормативов состава сточных вод расчет платы за сброс загрязняющих веществ в составе сточных вод с превышением этих нормативов должен осуществляться на основании контроля состава и свойств проб сточных вод, а не исходя из первоначально поданной декларации.</w:t>
      </w:r>
    </w:p>
    <w:p w:rsidR="00EC6E91" w:rsidRDefault="00EC6E91">
      <w:pPr>
        <w:pStyle w:val="ConsPlusNormal"/>
        <w:spacing w:before="220"/>
        <w:ind w:firstLine="540"/>
        <w:jc w:val="both"/>
      </w:pPr>
      <w:hyperlink r:id="rId23">
        <w:r>
          <w:rPr>
            <w:color w:val="0000FF"/>
          </w:rPr>
          <w:t>Определением</w:t>
        </w:r>
      </w:hyperlink>
      <w:r>
        <w:t xml:space="preserve"> Верховного Суда Российской Федерации от 6 февраля 2024 г. (судья Шилохвост О.Ю.) кассационная жалоба корпорации с делом переданы для рассмотрения в судебном заседании Судебной коллегии по экономическим спорам Верховного Суда Российской Федерации.</w:t>
      </w:r>
    </w:p>
    <w:p w:rsidR="00EC6E91" w:rsidRDefault="00EC6E91">
      <w:pPr>
        <w:pStyle w:val="ConsPlusNormal"/>
        <w:spacing w:before="220"/>
        <w:ind w:firstLine="540"/>
        <w:jc w:val="both"/>
      </w:pPr>
      <w:r>
        <w:t>Представители корпорации в судебном заседании подтвердили доводы кассационной жалобы и просили обжалуемые судебные акты отменить и оставить в силе ранее принятые судебные акты, которыми в удовлетворении иска отказано.</w:t>
      </w:r>
    </w:p>
    <w:p w:rsidR="00EC6E91" w:rsidRDefault="00EC6E91">
      <w:pPr>
        <w:pStyle w:val="ConsPlusNormal"/>
        <w:spacing w:before="220"/>
        <w:ind w:firstLine="540"/>
        <w:jc w:val="both"/>
      </w:pPr>
      <w:r>
        <w:t>Общество в отзыве на кассационную жалобу и его представитель в судебном заседании возражали против доводов кассационной жалобы, обжалуемые судебные акты просили оставить без изменения как законные и обоснованные.</w:t>
      </w:r>
    </w:p>
    <w:p w:rsidR="00EC6E91" w:rsidRDefault="00EC6E91">
      <w:pPr>
        <w:pStyle w:val="ConsPlusNormal"/>
        <w:spacing w:before="220"/>
        <w:ind w:firstLine="540"/>
        <w:jc w:val="both"/>
      </w:pPr>
      <w:r>
        <w:t xml:space="preserve">Проверив обоснованность доводов, изложенных в кассационной жалобе и в выступлениях представителей корпорации и общества, Судебная коллегия по экономическим спорам Верховного Суда Российской Федерации считает, что решение от 13 мая 2024 г., </w:t>
      </w:r>
      <w:hyperlink r:id="rId24">
        <w:r>
          <w:rPr>
            <w:color w:val="0000FF"/>
          </w:rPr>
          <w:t>постановление</w:t>
        </w:r>
      </w:hyperlink>
      <w:r>
        <w:t xml:space="preserve"> от 15 августа 2024 г. и </w:t>
      </w:r>
      <w:hyperlink r:id="rId25">
        <w:r>
          <w:rPr>
            <w:color w:val="0000FF"/>
          </w:rPr>
          <w:t>постановление</w:t>
        </w:r>
      </w:hyperlink>
      <w:r>
        <w:t xml:space="preserve"> от 1 ноября 2024 г. подлежат оставлению без изменения по следующим основаниям.</w:t>
      </w:r>
    </w:p>
    <w:p w:rsidR="00EC6E91" w:rsidRDefault="00EC6E91">
      <w:pPr>
        <w:pStyle w:val="ConsPlusNormal"/>
        <w:spacing w:before="220"/>
        <w:ind w:firstLine="540"/>
        <w:jc w:val="both"/>
      </w:pPr>
      <w:r>
        <w:t xml:space="preserve">Как установлено судами и усматривается из материалов дела, 26 декабря 2000 г. между </w:t>
      </w:r>
      <w:proofErr w:type="spellStart"/>
      <w:r>
        <w:t>правопредшественниками</w:t>
      </w:r>
      <w:proofErr w:type="spellEnd"/>
      <w:r>
        <w:t xml:space="preserve"> истца (организация водопроводно-канализационного хозяйства) и ответчика (абонент) заключен договор N 300068 на отпуск воды и прием сточных вод, по условиями которого истец обязался обеспечивать подачу ответчику питьевой воды и прием от ответчика сточных вод (пункт 3.1.2), а ответчик - оплачивать поданную питьевую воду и услуги по приему сточных вод в порядке и сроки, установленные договором.</w:t>
      </w:r>
    </w:p>
    <w:p w:rsidR="00EC6E91" w:rsidRDefault="00EC6E91">
      <w:pPr>
        <w:pStyle w:val="ConsPlusNormal"/>
        <w:spacing w:before="220"/>
        <w:ind w:firstLine="540"/>
        <w:jc w:val="both"/>
      </w:pPr>
      <w:r>
        <w:t>Корпорация письмом от 11 октября 2019 г. направила обществу декларацию о составе и свойствах сточных вод на 2020 год.</w:t>
      </w:r>
    </w:p>
    <w:p w:rsidR="00EC6E91" w:rsidRDefault="00EC6E91">
      <w:pPr>
        <w:pStyle w:val="ConsPlusNormal"/>
        <w:spacing w:before="220"/>
        <w:ind w:firstLine="540"/>
        <w:jc w:val="both"/>
      </w:pPr>
      <w:r>
        <w:t xml:space="preserve">19 августа 2020 г. на официальном портале Мэра и Правительства Москвы опубликовано распоряжение Департамента жилищно-коммунального хозяйства города Москвы от 19 августа 2020 г. N 01-01-14-182/20 "Об установлении нормативов состава сточных вод для объектов абонентов АО "Мосводоканал" (далее - распоряжение от 19 августа 2020 г.). В приложении N 2 к указанному распоряжению установлены нормативы состава сточных вод (далее - НССВ) для объектов абонентов (к числу которых относится корпорация), отведение сточных вод от которых осуществляется в технологическую зону водоотведения Люберецких очистных сооружений. В этом приложении по сравнению с ранее действовавшими снижены значения максимально допустимой </w:t>
      </w:r>
      <w:r>
        <w:lastRenderedPageBreak/>
        <w:t>концентрации по следующим веществам (показателям): нефтепродукты (нефть) (с 10 до 1,84 мг/дм</w:t>
      </w:r>
      <w:r>
        <w:rPr>
          <w:vertAlign w:val="superscript"/>
        </w:rPr>
        <w:t>3</w:t>
      </w:r>
      <w:r>
        <w:t>), сульфат-анион (сульфаты) (с 1000 до 100 мг/дм</w:t>
      </w:r>
      <w:r>
        <w:rPr>
          <w:vertAlign w:val="superscript"/>
        </w:rPr>
        <w:t>3</w:t>
      </w:r>
      <w:r>
        <w:t>), хлорид-анион (хлориды) (с 1000 до 309 мг/дм</w:t>
      </w:r>
      <w:r>
        <w:rPr>
          <w:vertAlign w:val="superscript"/>
        </w:rPr>
        <w:t>3</w:t>
      </w:r>
      <w:r>
        <w:t>), медь (с 1,0 до 0,057 мг/дм</w:t>
      </w:r>
      <w:r>
        <w:rPr>
          <w:vertAlign w:val="superscript"/>
        </w:rPr>
        <w:t>3</w:t>
      </w:r>
      <w:r>
        <w:t>), цинк (с 1,0 до 0,12 мг/дм</w:t>
      </w:r>
      <w:r>
        <w:rPr>
          <w:vertAlign w:val="superscript"/>
        </w:rPr>
        <w:t>3</w:t>
      </w:r>
      <w:r>
        <w:t>), никель (с 0,25 до 0,06 мг/дм</w:t>
      </w:r>
      <w:r>
        <w:rPr>
          <w:vertAlign w:val="superscript"/>
        </w:rPr>
        <w:t>3</w:t>
      </w:r>
      <w:r>
        <w:t>), анионные синтетические поверхностно-активные вещества (СПАВ анионные) (с 10 до 4,4 мг/дм</w:t>
      </w:r>
      <w:r>
        <w:rPr>
          <w:vertAlign w:val="superscript"/>
        </w:rPr>
        <w:t>3</w:t>
      </w:r>
      <w:r>
        <w:t>), а также введены нормативы по показателям: биохимическое потребление кислорода (БПК) полное (204 мг/дм</w:t>
      </w:r>
      <w:r>
        <w:rPr>
          <w:vertAlign w:val="superscript"/>
        </w:rPr>
        <w:t>3</w:t>
      </w:r>
      <w:r>
        <w:t>), аммоний-ион (6,7 мг/дм</w:t>
      </w:r>
      <w:r>
        <w:rPr>
          <w:vertAlign w:val="superscript"/>
        </w:rPr>
        <w:t>3</w:t>
      </w:r>
      <w:r>
        <w:t>), фосфаты (по фосфору) (0,5 мг/дм</w:t>
      </w:r>
      <w:r>
        <w:rPr>
          <w:vertAlign w:val="superscript"/>
        </w:rPr>
        <w:t>3</w:t>
      </w:r>
      <w:r>
        <w:t xml:space="preserve">), фенол, </w:t>
      </w:r>
      <w:proofErr w:type="spellStart"/>
      <w:r>
        <w:t>гидроксибензол</w:t>
      </w:r>
      <w:proofErr w:type="spellEnd"/>
      <w:r>
        <w:t xml:space="preserve"> (0,020 мг/дм</w:t>
      </w:r>
      <w:r>
        <w:rPr>
          <w:vertAlign w:val="superscript"/>
        </w:rPr>
        <w:t>3</w:t>
      </w:r>
      <w:r>
        <w:t>), хром трехвалентный (0,50 мг/дм</w:t>
      </w:r>
      <w:r>
        <w:rPr>
          <w:vertAlign w:val="superscript"/>
        </w:rPr>
        <w:t>3</w:t>
      </w:r>
      <w:r>
        <w:t>).</w:t>
      </w:r>
    </w:p>
    <w:p w:rsidR="00EC6E91" w:rsidRDefault="00EC6E91">
      <w:pPr>
        <w:pStyle w:val="ConsPlusNormal"/>
        <w:spacing w:before="220"/>
        <w:ind w:firstLine="540"/>
        <w:jc w:val="both"/>
      </w:pPr>
      <w:r>
        <w:t>Корректирующую декларацию о составе и свойствах сточных вод на 2020 год корпорация направила обществу письмом от 14 октября 2020 г.</w:t>
      </w:r>
    </w:p>
    <w:p w:rsidR="00EC6E91" w:rsidRDefault="00EC6E91">
      <w:pPr>
        <w:pStyle w:val="ConsPlusNormal"/>
        <w:spacing w:before="220"/>
        <w:ind w:firstLine="540"/>
        <w:jc w:val="both"/>
      </w:pPr>
      <w:r>
        <w:t>Ссылаясь на то, что указанные корпорацией в первичной декларации о составе и свойствах сточных вод на 2020 год концентрации загрязняющих веществ по нефтепродуктам, сульфатам, хлоридам, меди, цинку, никелю, СПАВ анионным превышают максимально допустимые значения, установленные распоряжением от 19 августа 2020 г., общество начислило плату за сброс корпорацией загрязняющих веществ в составе сточных вод с превышением НССВ за сентябрь и октябрь 2020 г., выставив счета от 30 сентября 2020 г. N 300068-16 и от 31 октября 2020 г. N 300068-18 на сумму 2 523 464 руб. 54 коп.</w:t>
      </w:r>
    </w:p>
    <w:p w:rsidR="00EC6E91" w:rsidRDefault="00EC6E91">
      <w:pPr>
        <w:pStyle w:val="ConsPlusNormal"/>
        <w:spacing w:before="220"/>
        <w:ind w:firstLine="540"/>
        <w:jc w:val="both"/>
      </w:pPr>
      <w:r>
        <w:t>Оставление корпорацией претензии общества от 25 ноября 2020 г. об оплате указанных счетов в добровольном порядке без удовлетворения послужило основанием для обращения общества в арбитражный суд с настоящим иском.</w:t>
      </w:r>
    </w:p>
    <w:p w:rsidR="00EC6E91" w:rsidRDefault="00EC6E91">
      <w:pPr>
        <w:pStyle w:val="ConsPlusNormal"/>
        <w:spacing w:before="220"/>
        <w:ind w:firstLine="540"/>
        <w:jc w:val="both"/>
      </w:pPr>
      <w:r>
        <w:t xml:space="preserve">Удовлетворяя иск при повторном рассмотрении спора, суды руководствовались </w:t>
      </w:r>
      <w:hyperlink r:id="rId26">
        <w:r>
          <w:rPr>
            <w:color w:val="0000FF"/>
          </w:rPr>
          <w:t>статьями 309</w:t>
        </w:r>
      </w:hyperlink>
      <w:r>
        <w:t xml:space="preserve">, </w:t>
      </w:r>
      <w:hyperlink r:id="rId27">
        <w:r>
          <w:rPr>
            <w:color w:val="0000FF"/>
          </w:rPr>
          <w:t>310</w:t>
        </w:r>
      </w:hyperlink>
      <w:r>
        <w:t xml:space="preserve"> Гражданского кодекса Российской Федерации, </w:t>
      </w:r>
      <w:hyperlink r:id="rId28">
        <w:r>
          <w:rPr>
            <w:color w:val="0000FF"/>
          </w:rPr>
          <w:t>статьями 4</w:t>
        </w:r>
      </w:hyperlink>
      <w:r>
        <w:t xml:space="preserve">, </w:t>
      </w:r>
      <w:hyperlink r:id="rId29">
        <w:r>
          <w:rPr>
            <w:color w:val="0000FF"/>
          </w:rPr>
          <w:t>7</w:t>
        </w:r>
      </w:hyperlink>
      <w:r>
        <w:t xml:space="preserve"> и </w:t>
      </w:r>
      <w:hyperlink r:id="rId30">
        <w:r>
          <w:rPr>
            <w:color w:val="0000FF"/>
          </w:rPr>
          <w:t>30.1</w:t>
        </w:r>
      </w:hyperlink>
      <w:r>
        <w:t xml:space="preserve"> Федерального закона от 7 декабря 2011 г. N 416-ФЗ "О водоснабжении и водоотведении", </w:t>
      </w:r>
      <w:hyperlink r:id="rId31">
        <w:r>
          <w:rPr>
            <w:color w:val="0000FF"/>
          </w:rPr>
          <w:t>пунктами 118</w:t>
        </w:r>
      </w:hyperlink>
      <w:r>
        <w:t xml:space="preserve">, </w:t>
      </w:r>
      <w:hyperlink r:id="rId32">
        <w:r>
          <w:rPr>
            <w:color w:val="0000FF"/>
          </w:rPr>
          <w:t>124</w:t>
        </w:r>
      </w:hyperlink>
      <w:r>
        <w:t xml:space="preserve">, </w:t>
      </w:r>
      <w:hyperlink r:id="rId33">
        <w:r>
          <w:rPr>
            <w:color w:val="0000FF"/>
          </w:rPr>
          <w:t>125</w:t>
        </w:r>
      </w:hyperlink>
      <w:r>
        <w:t xml:space="preserve">, </w:t>
      </w:r>
      <w:hyperlink r:id="rId34">
        <w:r>
          <w:rPr>
            <w:color w:val="0000FF"/>
          </w:rPr>
          <w:t>127</w:t>
        </w:r>
      </w:hyperlink>
      <w:r>
        <w:t xml:space="preserve">, </w:t>
      </w:r>
      <w:hyperlink r:id="rId35">
        <w:r>
          <w:rPr>
            <w:color w:val="0000FF"/>
          </w:rPr>
          <w:t>128</w:t>
        </w:r>
      </w:hyperlink>
      <w:r>
        <w:t xml:space="preserve">, </w:t>
      </w:r>
      <w:hyperlink r:id="rId36">
        <w:r>
          <w:rPr>
            <w:color w:val="0000FF"/>
          </w:rPr>
          <w:t>129</w:t>
        </w:r>
      </w:hyperlink>
      <w:r>
        <w:t xml:space="preserve">, </w:t>
      </w:r>
      <w:hyperlink r:id="rId37">
        <w:r>
          <w:rPr>
            <w:color w:val="0000FF"/>
          </w:rPr>
          <w:t>130(1)</w:t>
        </w:r>
      </w:hyperlink>
      <w:r>
        <w:t xml:space="preserve">, </w:t>
      </w:r>
      <w:hyperlink r:id="rId38">
        <w:r>
          <w:rPr>
            <w:color w:val="0000FF"/>
          </w:rPr>
          <w:t>130(3)</w:t>
        </w:r>
      </w:hyperlink>
      <w:r>
        <w:t xml:space="preserve">, </w:t>
      </w:r>
      <w:hyperlink r:id="rId39">
        <w:r>
          <w:rPr>
            <w:color w:val="0000FF"/>
          </w:rPr>
          <w:t>170</w:t>
        </w:r>
      </w:hyperlink>
      <w:r>
        <w:t xml:space="preserve">, </w:t>
      </w:r>
      <w:hyperlink r:id="rId40">
        <w:r>
          <w:rPr>
            <w:color w:val="0000FF"/>
          </w:rPr>
          <w:t>194</w:t>
        </w:r>
      </w:hyperlink>
      <w:r>
        <w:t xml:space="preserve"> - </w:t>
      </w:r>
      <w:hyperlink r:id="rId41">
        <w:r>
          <w:rPr>
            <w:color w:val="0000FF"/>
          </w:rPr>
          <w:t>198</w:t>
        </w:r>
      </w:hyperlink>
      <w:r>
        <w:t xml:space="preserve"> Правил холодного водоснабжения и, исследовав и оценив представленные по делу доказательства по правилам </w:t>
      </w:r>
      <w:hyperlink r:id="rId42">
        <w:r>
          <w:rPr>
            <w:color w:val="0000FF"/>
          </w:rPr>
          <w:t>статьи 71</w:t>
        </w:r>
      </w:hyperlink>
      <w:r>
        <w:t xml:space="preserve"> Арбитражного процессуального кодекса Российской Федерации, пришли к выводу о том, что абонент обязан соблюдать установленные распоряжением от 19 августа 2020 г. нормативы с момента его опубликования независимо от подачи корректирующей декларации, а поскольку соответствующие изменения в декларацию абонентом своевременно внесены не были, общество имело право руководствоваться значениями концентраций загрязняющих веществ, указанными корпорацией в первоначальной декларации на 2020 г.</w:t>
      </w:r>
    </w:p>
    <w:p w:rsidR="00EC6E91" w:rsidRDefault="00EC6E91">
      <w:pPr>
        <w:pStyle w:val="ConsPlusNormal"/>
        <w:spacing w:before="220"/>
        <w:ind w:firstLine="540"/>
        <w:jc w:val="both"/>
      </w:pPr>
      <w:r>
        <w:t>Разделяя указанный вывод, судебная коллегия считает необходимым отметить следующее.</w:t>
      </w:r>
    </w:p>
    <w:p w:rsidR="00EC6E91" w:rsidRDefault="00EC6E91">
      <w:pPr>
        <w:pStyle w:val="ConsPlusNormal"/>
        <w:spacing w:before="220"/>
        <w:ind w:firstLine="540"/>
        <w:jc w:val="both"/>
      </w:pPr>
      <w:r>
        <w:t xml:space="preserve">Согласно </w:t>
      </w:r>
      <w:hyperlink r:id="rId43">
        <w:r>
          <w:rPr>
            <w:color w:val="0000FF"/>
          </w:rPr>
          <w:t>пунктам 124</w:t>
        </w:r>
      </w:hyperlink>
      <w:r>
        <w:t xml:space="preserve">, </w:t>
      </w:r>
      <w:hyperlink r:id="rId44">
        <w:r>
          <w:rPr>
            <w:color w:val="0000FF"/>
          </w:rPr>
          <w:t>125</w:t>
        </w:r>
      </w:hyperlink>
      <w:r>
        <w:t xml:space="preserve">, </w:t>
      </w:r>
      <w:hyperlink r:id="rId45">
        <w:r>
          <w:rPr>
            <w:color w:val="0000FF"/>
          </w:rPr>
          <w:t>подпункту "б" пункта 128</w:t>
        </w:r>
      </w:hyperlink>
      <w:r>
        <w:t xml:space="preserve">, </w:t>
      </w:r>
      <w:hyperlink r:id="rId46">
        <w:r>
          <w:rPr>
            <w:color w:val="0000FF"/>
          </w:rPr>
          <w:t>пункту 129</w:t>
        </w:r>
      </w:hyperlink>
      <w:r>
        <w:t xml:space="preserve"> Правил холодного водоснабжения декларация о составе и свойствах сточных вод подается абонентом в целях обеспечения контроля состава и свойств сточных вод и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 При этом значения включаемых в декларацию фактических концентраций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 подлежат определению абонентом не произвольно, а в интервале от минимального до максимального значения результатов анализов состава и свойств проб сточных вод.</w:t>
      </w:r>
    </w:p>
    <w:p w:rsidR="00EC6E91" w:rsidRDefault="00EC6E91">
      <w:pPr>
        <w:pStyle w:val="ConsPlusNormal"/>
        <w:spacing w:before="220"/>
        <w:ind w:firstLine="540"/>
        <w:jc w:val="both"/>
      </w:pPr>
      <w:r>
        <w:t xml:space="preserve">Указанные </w:t>
      </w:r>
      <w:hyperlink r:id="rId47">
        <w:r>
          <w:rPr>
            <w:color w:val="0000FF"/>
          </w:rPr>
          <w:t>правила</w:t>
        </w:r>
      </w:hyperlink>
      <w:r>
        <w:t xml:space="preserve"> подлежат применению независимо от того, является ли подаваемая абонентом декларация о составе и свойствах сточных вод первичной или корректирующей и независимо от того, вносятся ли изменения в декларацию по собственному усмотрению абонента, по результатам контроля состава и свойств сточных вод, проводимого организацией водопроводно-канализационного хозяйства или в связи с изменением уполномоченным органом перечня загрязняющих веществ, в отношении которых установлены нормативы состава сточных вод (</w:t>
      </w:r>
      <w:hyperlink r:id="rId48">
        <w:r>
          <w:rPr>
            <w:color w:val="0000FF"/>
          </w:rPr>
          <w:t>пункты 127</w:t>
        </w:r>
      </w:hyperlink>
      <w:r>
        <w:t xml:space="preserve">, </w:t>
      </w:r>
      <w:hyperlink r:id="rId49">
        <w:r>
          <w:rPr>
            <w:color w:val="0000FF"/>
          </w:rPr>
          <w:t>130(2)</w:t>
        </w:r>
      </w:hyperlink>
      <w:r>
        <w:t xml:space="preserve"> и </w:t>
      </w:r>
      <w:hyperlink r:id="rId50">
        <w:r>
          <w:rPr>
            <w:color w:val="0000FF"/>
          </w:rPr>
          <w:t>130(3)</w:t>
        </w:r>
      </w:hyperlink>
      <w:r>
        <w:t xml:space="preserve"> Правил холодного водоснабжения).</w:t>
      </w:r>
    </w:p>
    <w:p w:rsidR="00EC6E91" w:rsidRDefault="00EC6E91">
      <w:pPr>
        <w:pStyle w:val="ConsPlusNormal"/>
        <w:spacing w:before="220"/>
        <w:ind w:firstLine="540"/>
        <w:jc w:val="both"/>
      </w:pPr>
      <w:r>
        <w:lastRenderedPageBreak/>
        <w:t xml:space="preserve">Судебная коллегия обращает внимание на то, что в связи с принятием органом, уполномоченным на установление нормативов состава сточных вод, нормативного правового акта об установлении или корректировке нормативов состава сточных вод, в </w:t>
      </w:r>
      <w:hyperlink r:id="rId51">
        <w:r>
          <w:rPr>
            <w:color w:val="0000FF"/>
          </w:rPr>
          <w:t>пункте 130(3)</w:t>
        </w:r>
      </w:hyperlink>
      <w:r>
        <w:t xml:space="preserve"> Правил холодного водоснабжения установлен трехмесячный срок для внесения абонентом изменения в декларацию о составе и свойствах сточных вод только в части изменения перечня загрязняющих веществ, в отношении которых установлены НССВ.</w:t>
      </w:r>
    </w:p>
    <w:p w:rsidR="00EC6E91" w:rsidRDefault="00EC6E91">
      <w:pPr>
        <w:pStyle w:val="ConsPlusNormal"/>
        <w:spacing w:before="220"/>
        <w:ind w:firstLine="540"/>
        <w:jc w:val="both"/>
      </w:pPr>
      <w:r>
        <w:t xml:space="preserve">Поскольку в действующей на момент принятия такого нормативного правового акта декларации отсутствуют значения концентрации по веществам (показателям), которыми дополнен перечень загрязняющих веществ, </w:t>
      </w:r>
      <w:hyperlink r:id="rId52">
        <w:r>
          <w:rPr>
            <w:color w:val="0000FF"/>
          </w:rPr>
          <w:t>пунктом 195</w:t>
        </w:r>
      </w:hyperlink>
      <w:r>
        <w:t xml:space="preserve"> Правил холодного водоснабжения устанавливается, что до подачи корректирующей декларации расчет платы за сброс загрязняющих веществ в составе сточных вод сверх установленных НССВ должен производиться ежемесячно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По смыслу изложенных законоположений указанный трехмесячный срок предоставляется абоненту для того, чтобы он мог в соответствии с </w:t>
      </w:r>
      <w:hyperlink r:id="rId53">
        <w:r>
          <w:rPr>
            <w:color w:val="0000FF"/>
          </w:rPr>
          <w:t>пунктом 129</w:t>
        </w:r>
      </w:hyperlink>
      <w:r>
        <w:t xml:space="preserve"> названных Правил провести анализ состава и свойств проб сточных вод по вновь включенным в перечень загрязняющих веществ показателям и по результатам этого анализа подать корректирующую декларацию, содержащую значения фактических концентраций.</w:t>
      </w:r>
    </w:p>
    <w:p w:rsidR="00EC6E91" w:rsidRDefault="00EC6E91">
      <w:pPr>
        <w:pStyle w:val="ConsPlusNormal"/>
        <w:spacing w:before="220"/>
        <w:ind w:firstLine="540"/>
        <w:jc w:val="both"/>
      </w:pPr>
      <w:r>
        <w:t xml:space="preserve">При этом в </w:t>
      </w:r>
      <w:hyperlink r:id="rId54">
        <w:r>
          <w:rPr>
            <w:color w:val="0000FF"/>
          </w:rPr>
          <w:t>Правилах</w:t>
        </w:r>
      </w:hyperlink>
      <w:r>
        <w:t xml:space="preserve"> холодного водоснабжения отсутствуют аналогичные правила в отношении тех показателей, которые уже были включены в декларацию и были лишь скорректированы в новом нормативном правовом акте, что объясняется отсутствием необходимости организации анализа состава и свойств проб сточных вод по этим показателям.</w:t>
      </w:r>
    </w:p>
    <w:p w:rsidR="00EC6E91" w:rsidRDefault="00EC6E91">
      <w:pPr>
        <w:pStyle w:val="ConsPlusNormal"/>
        <w:spacing w:before="220"/>
        <w:ind w:firstLine="540"/>
        <w:jc w:val="both"/>
      </w:pPr>
      <w:r>
        <w:t xml:space="preserve">Учитывая, что </w:t>
      </w:r>
      <w:hyperlink r:id="rId55">
        <w:r>
          <w:rPr>
            <w:color w:val="0000FF"/>
          </w:rPr>
          <w:t>пункт 129</w:t>
        </w:r>
      </w:hyperlink>
      <w:r>
        <w:t xml:space="preserve"> Правила холодного водоснабжения предоставляет абоненту право выбрать при включении в декларацию значения фактических концентраций и фактических свойств сточных вод в интервале от минимального до максимального значения результатов анализов состава и свойств проб сточных вод, полученных за 2 предшествующих года, абонент, действуя разумно и добросовестно, не вправе при подаче корректирующей декларации после принятия уполномоченным органом нормативного правового акта о корректировке НССВ произвольно изменить фактические концентрации загрязняющих веществ в сточных водах в целях формального приведения их в соответствие с установленными таким актом максимально допустимыми значениями концентрации загрязняющих веществ.</w:t>
      </w:r>
    </w:p>
    <w:p w:rsidR="00EC6E91" w:rsidRDefault="00EC6E91">
      <w:pPr>
        <w:pStyle w:val="ConsPlusNormal"/>
        <w:spacing w:before="220"/>
        <w:ind w:firstLine="540"/>
        <w:jc w:val="both"/>
      </w:pPr>
      <w:r>
        <w:t>Судебная коллегия также отмечает, что, возражая против применения распоряжения от 19 августа 2020 г. к отношениям по определению размера платы за сброс загрязняющих веществ в составе сточных вод сверх установленных НССВ в спорный период, ответчик не ссылается на то, что установленные названным распоряжением в целях охраны водных объектов от загрязнений НССВ не основаны на достоверных экспертно-аналитических исследованиях, либо были обжалованы корпорацией по иным основаниям, связанным с нарушением ее прав и законных интересов.</w:t>
      </w:r>
    </w:p>
    <w:p w:rsidR="00EC6E91" w:rsidRDefault="00EC6E91">
      <w:pPr>
        <w:pStyle w:val="ConsPlusNormal"/>
        <w:spacing w:before="220"/>
        <w:ind w:firstLine="540"/>
        <w:jc w:val="both"/>
      </w:pPr>
      <w:r>
        <w:t xml:space="preserve">В связи с изложенным и учитывая, что </w:t>
      </w:r>
      <w:proofErr w:type="spellStart"/>
      <w:r>
        <w:t>истребуемая</w:t>
      </w:r>
      <w:proofErr w:type="spellEnd"/>
      <w:r>
        <w:t xml:space="preserve"> сумма исчислена обществом в связи с превышением указанных корпорацией в первичной декларации о составе и свойствах сточных вод на 2020 год концентраций загрязняющих веществ по нефтепродуктам, сульфатам, хлоридам, меди, цинку, никелю, СПАВ анионным максимально допустимых значений, установленных распоряжением от 19 августа 2020 г., судебная коллегия отклоняет ссылку корпорации на </w:t>
      </w:r>
      <w:hyperlink r:id="rId56">
        <w:r>
          <w:rPr>
            <w:color w:val="0000FF"/>
          </w:rPr>
          <w:t>пункты 195</w:t>
        </w:r>
      </w:hyperlink>
      <w:r>
        <w:t xml:space="preserve"> и </w:t>
      </w:r>
      <w:hyperlink r:id="rId57">
        <w:r>
          <w:rPr>
            <w:color w:val="0000FF"/>
          </w:rPr>
          <w:t>130(3)</w:t>
        </w:r>
      </w:hyperlink>
      <w:r>
        <w:t xml:space="preserve"> Правил холодного водоснабжения. Данные законоположения распространяются на нормативы по БПК полному, аммоний-иону, фосфору, фенолу, </w:t>
      </w:r>
      <w:proofErr w:type="spellStart"/>
      <w:r>
        <w:t>гидроксибензолу</w:t>
      </w:r>
      <w:proofErr w:type="spellEnd"/>
      <w:r>
        <w:t xml:space="preserve"> и хрому трехвалентному, требование о взыскании платы за сброс загрязняющих веществ в составе сточных вод сверх которых, судя по содержанию принятых по делу судебных актов, обществом не предъявлялось, что подтвердили представители корпорации в настоящем судебном заседании.</w:t>
      </w:r>
    </w:p>
    <w:p w:rsidR="00EC6E91" w:rsidRDefault="00EC6E91">
      <w:pPr>
        <w:pStyle w:val="ConsPlusNormal"/>
        <w:spacing w:before="220"/>
        <w:ind w:firstLine="540"/>
        <w:jc w:val="both"/>
      </w:pPr>
      <w:r>
        <w:t>Таким образом, обжалуемые судебные акты подлежат оставлению без изменения, а кассационная жалоба - без удовлетворения.</w:t>
      </w:r>
    </w:p>
    <w:p w:rsidR="00EC6E91" w:rsidRDefault="00EC6E91">
      <w:pPr>
        <w:pStyle w:val="ConsPlusNormal"/>
        <w:spacing w:before="220"/>
        <w:ind w:firstLine="540"/>
        <w:jc w:val="both"/>
      </w:pPr>
      <w:r>
        <w:lastRenderedPageBreak/>
        <w:t xml:space="preserve">На основании изложенного и руководствуясь </w:t>
      </w:r>
      <w:hyperlink r:id="rId58">
        <w:r>
          <w:rPr>
            <w:color w:val="0000FF"/>
          </w:rPr>
          <w:t>статьями 184</w:t>
        </w:r>
      </w:hyperlink>
      <w:r>
        <w:t xml:space="preserve">, </w:t>
      </w:r>
      <w:hyperlink r:id="rId59">
        <w:r>
          <w:rPr>
            <w:color w:val="0000FF"/>
          </w:rPr>
          <w:t>291.13</w:t>
        </w:r>
      </w:hyperlink>
      <w:r>
        <w:t xml:space="preserve"> - </w:t>
      </w:r>
      <w:hyperlink r:id="rId60">
        <w:r>
          <w:rPr>
            <w:color w:val="0000FF"/>
          </w:rPr>
          <w:t>291.15</w:t>
        </w:r>
      </w:hyperlink>
      <w:r>
        <w:t xml:space="preserve"> Арбитражного процессуального кодекса Российской Федерации, Судебная коллегия по экономическим спорам Верховного Суда Российской Федерации</w:t>
      </w:r>
    </w:p>
    <w:p w:rsidR="00EC6E91" w:rsidRDefault="00EC6E91">
      <w:pPr>
        <w:pStyle w:val="ConsPlusNormal"/>
        <w:jc w:val="center"/>
      </w:pPr>
    </w:p>
    <w:p w:rsidR="00EC6E91" w:rsidRDefault="00EC6E91">
      <w:pPr>
        <w:pStyle w:val="ConsPlusNormal"/>
        <w:jc w:val="center"/>
      </w:pPr>
      <w:r>
        <w:t>определила:</w:t>
      </w:r>
    </w:p>
    <w:p w:rsidR="00EC6E91" w:rsidRDefault="00EC6E91">
      <w:pPr>
        <w:pStyle w:val="ConsPlusNormal"/>
        <w:jc w:val="center"/>
      </w:pPr>
    </w:p>
    <w:p w:rsidR="00EC6E91" w:rsidRDefault="00EC6E91">
      <w:pPr>
        <w:pStyle w:val="ConsPlusNormal"/>
        <w:ind w:firstLine="540"/>
        <w:jc w:val="both"/>
      </w:pPr>
      <w:hyperlink r:id="rId61">
        <w:r>
          <w:rPr>
            <w:color w:val="0000FF"/>
          </w:rPr>
          <w:t>решение</w:t>
        </w:r>
      </w:hyperlink>
      <w:r>
        <w:t xml:space="preserve"> Арбитражного суда города Москвы от 13 мая 2024 г. по делу N А40-51745/23, </w:t>
      </w:r>
      <w:hyperlink r:id="rId62">
        <w:r>
          <w:rPr>
            <w:color w:val="0000FF"/>
          </w:rPr>
          <w:t>постановление</w:t>
        </w:r>
      </w:hyperlink>
      <w:r>
        <w:t xml:space="preserve"> Девятого арбитражного апелляционного суда от 15 августа 2024 г. и </w:t>
      </w:r>
      <w:hyperlink r:id="rId63">
        <w:r>
          <w:rPr>
            <w:color w:val="0000FF"/>
          </w:rPr>
          <w:t>постановление</w:t>
        </w:r>
      </w:hyperlink>
      <w:r>
        <w:t xml:space="preserve"> Арбитражного суда Московского округа от 1 ноября 2024 г. оставить без изменения, кассационную жалобу без удовлетворения.</w:t>
      </w:r>
    </w:p>
    <w:p w:rsidR="00EC6E91" w:rsidRDefault="00EC6E91">
      <w:pPr>
        <w:pStyle w:val="ConsPlusNormal"/>
        <w:spacing w:before="220"/>
        <w:ind w:firstLine="540"/>
        <w:jc w:val="both"/>
      </w:pPr>
      <w:r>
        <w:t>Настоящее определение вступает в законную силу со дня его вынесения и может быть обжаловано в порядке надзора в Верховный Суд Российской Федерации в трехмесячный срок.</w:t>
      </w:r>
    </w:p>
    <w:p w:rsidR="00EC6E91" w:rsidRDefault="00EC6E91">
      <w:pPr>
        <w:pStyle w:val="ConsPlusNormal"/>
        <w:ind w:firstLine="540"/>
        <w:jc w:val="both"/>
      </w:pPr>
    </w:p>
    <w:p w:rsidR="00EC6E91" w:rsidRDefault="00EC6E91">
      <w:pPr>
        <w:pStyle w:val="ConsPlusNormal"/>
        <w:jc w:val="right"/>
      </w:pPr>
      <w:r>
        <w:t>Председательствующий судья</w:t>
      </w:r>
    </w:p>
    <w:p w:rsidR="00EC6E91" w:rsidRDefault="00EC6E91">
      <w:pPr>
        <w:pStyle w:val="ConsPlusNormal"/>
        <w:jc w:val="right"/>
      </w:pPr>
      <w:r>
        <w:t>О.Ю.ШИЛОХВОСТ</w:t>
      </w:r>
    </w:p>
    <w:p w:rsidR="00EC6E91" w:rsidRDefault="00EC6E91">
      <w:pPr>
        <w:pStyle w:val="ConsPlusNormal"/>
        <w:jc w:val="right"/>
      </w:pPr>
    </w:p>
    <w:p w:rsidR="00EC6E91" w:rsidRDefault="00EC6E91">
      <w:pPr>
        <w:pStyle w:val="ConsPlusNormal"/>
        <w:jc w:val="right"/>
      </w:pPr>
      <w:r>
        <w:t>Судья</w:t>
      </w:r>
    </w:p>
    <w:p w:rsidR="00EC6E91" w:rsidRDefault="00EC6E91">
      <w:pPr>
        <w:pStyle w:val="ConsPlusNormal"/>
        <w:jc w:val="right"/>
      </w:pPr>
      <w:r>
        <w:t>Е.Н.ЗАРУБИНА</w:t>
      </w:r>
    </w:p>
    <w:p w:rsidR="00EC6E91" w:rsidRDefault="00EC6E91">
      <w:pPr>
        <w:pStyle w:val="ConsPlusNormal"/>
        <w:jc w:val="right"/>
      </w:pPr>
      <w:r>
        <w:t>Г.Г.КИРЕЙКОВА</w:t>
      </w:r>
    </w:p>
    <w:p w:rsidR="00EC6E91" w:rsidRDefault="00EC6E91">
      <w:pPr>
        <w:pStyle w:val="ConsPlusNormal"/>
        <w:ind w:firstLine="540"/>
        <w:jc w:val="both"/>
      </w:pPr>
    </w:p>
    <w:p w:rsidR="00EC6E91" w:rsidRDefault="00EC6E91">
      <w:pPr>
        <w:pStyle w:val="ConsPlusNormal"/>
        <w:ind w:firstLine="540"/>
        <w:jc w:val="both"/>
      </w:pPr>
    </w:p>
    <w:p w:rsidR="00EC6E91" w:rsidRDefault="00EC6E91">
      <w:pPr>
        <w:pStyle w:val="ConsPlusNormal"/>
        <w:pBdr>
          <w:bottom w:val="single" w:sz="6" w:space="0" w:color="auto"/>
        </w:pBdr>
        <w:spacing w:before="100" w:after="100"/>
        <w:jc w:val="both"/>
        <w:rPr>
          <w:sz w:val="2"/>
          <w:szCs w:val="2"/>
        </w:rPr>
      </w:pPr>
    </w:p>
    <w:p w:rsidR="009A6022" w:rsidRDefault="009A6022">
      <w:bookmarkStart w:id="0" w:name="_GoBack"/>
      <w:bookmarkEnd w:id="0"/>
    </w:p>
    <w:sectPr w:rsidR="009A6022" w:rsidSect="00BA3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91"/>
    <w:rsid w:val="009A6022"/>
    <w:rsid w:val="00EC6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32115-6647-43E1-B46A-A7EE94EE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6E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6E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6E9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C6E9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C6E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43762&amp;dst=101540" TargetMode="External"/><Relationship Id="rId21" Type="http://schemas.openxmlformats.org/officeDocument/2006/relationships/hyperlink" Target="https://login.consultant.ru/link/?req=doc&amp;base=RZR&amp;n=402302&amp;dst=800" TargetMode="External"/><Relationship Id="rId34" Type="http://schemas.openxmlformats.org/officeDocument/2006/relationships/hyperlink" Target="https://login.consultant.ru/link/?req=doc&amp;base=RZR&amp;n=402302&amp;dst=784" TargetMode="External"/><Relationship Id="rId42" Type="http://schemas.openxmlformats.org/officeDocument/2006/relationships/hyperlink" Target="https://login.consultant.ru/link/?req=doc&amp;base=RZR&amp;n=495133&amp;dst=100419" TargetMode="External"/><Relationship Id="rId47" Type="http://schemas.openxmlformats.org/officeDocument/2006/relationships/hyperlink" Target="https://login.consultant.ru/link/?req=doc&amp;base=RZR&amp;n=402302&amp;dst=100013" TargetMode="External"/><Relationship Id="rId50" Type="http://schemas.openxmlformats.org/officeDocument/2006/relationships/hyperlink" Target="https://login.consultant.ru/link/?req=doc&amp;base=RZR&amp;n=402302&amp;dst=800" TargetMode="External"/><Relationship Id="rId55" Type="http://schemas.openxmlformats.org/officeDocument/2006/relationships/hyperlink" Target="https://login.consultant.ru/link/?req=doc&amp;base=RZR&amp;n=402302&amp;dst=785" TargetMode="External"/><Relationship Id="rId63" Type="http://schemas.openxmlformats.org/officeDocument/2006/relationships/hyperlink" Target="https://login.consultant.ru/link/?req=doc&amp;base=AMS&amp;n=540331" TargetMode="External"/><Relationship Id="rId7" Type="http://schemas.openxmlformats.org/officeDocument/2006/relationships/hyperlink" Target="https://login.consultant.ru/link/?req=doc&amp;base=AMS&amp;n=540331" TargetMode="External"/><Relationship Id="rId2" Type="http://schemas.openxmlformats.org/officeDocument/2006/relationships/settings" Target="settings.xml"/><Relationship Id="rId16" Type="http://schemas.openxmlformats.org/officeDocument/2006/relationships/hyperlink" Target="https://login.consultant.ru/link/?req=doc&amp;base=MARB&amp;n=2850197" TargetMode="External"/><Relationship Id="rId29" Type="http://schemas.openxmlformats.org/officeDocument/2006/relationships/hyperlink" Target="https://login.consultant.ru/link/?req=doc&amp;base=RZR&amp;n=425478&amp;dst=100136" TargetMode="External"/><Relationship Id="rId11" Type="http://schemas.openxmlformats.org/officeDocument/2006/relationships/hyperlink" Target="https://login.consultant.ru/link/?req=doc&amp;base=MARB&amp;n=2850196" TargetMode="External"/><Relationship Id="rId24" Type="http://schemas.openxmlformats.org/officeDocument/2006/relationships/hyperlink" Target="https://login.consultant.ru/link/?req=doc&amp;base=MARB&amp;n=2727728" TargetMode="External"/><Relationship Id="rId32" Type="http://schemas.openxmlformats.org/officeDocument/2006/relationships/hyperlink" Target="https://login.consultant.ru/link/?req=doc&amp;base=RZR&amp;n=402302&amp;dst=780" TargetMode="External"/><Relationship Id="rId37" Type="http://schemas.openxmlformats.org/officeDocument/2006/relationships/hyperlink" Target="https://login.consultant.ru/link/?req=doc&amp;base=RZR&amp;n=402302&amp;dst=193" TargetMode="External"/><Relationship Id="rId40" Type="http://schemas.openxmlformats.org/officeDocument/2006/relationships/hyperlink" Target="https://login.consultant.ru/link/?req=doc&amp;base=RZR&amp;n=402302&amp;dst=903" TargetMode="External"/><Relationship Id="rId45" Type="http://schemas.openxmlformats.org/officeDocument/2006/relationships/hyperlink" Target="https://login.consultant.ru/link/?req=doc&amp;base=RZR&amp;n=402302&amp;dst=176" TargetMode="External"/><Relationship Id="rId53" Type="http://schemas.openxmlformats.org/officeDocument/2006/relationships/hyperlink" Target="https://login.consultant.ru/link/?req=doc&amp;base=RZR&amp;n=402302&amp;dst=785" TargetMode="External"/><Relationship Id="rId58" Type="http://schemas.openxmlformats.org/officeDocument/2006/relationships/hyperlink" Target="https://login.consultant.ru/link/?req=doc&amp;base=RZR&amp;n=495133&amp;dst=101157" TargetMode="External"/><Relationship Id="rId5" Type="http://schemas.openxmlformats.org/officeDocument/2006/relationships/hyperlink" Target="https://login.consultant.ru/link/?req=doc&amp;base=MARB&amp;n=2850197" TargetMode="External"/><Relationship Id="rId61" Type="http://schemas.openxmlformats.org/officeDocument/2006/relationships/hyperlink" Target="https://login.consultant.ru/link/?req=doc&amp;base=MARB&amp;n=2850197" TargetMode="External"/><Relationship Id="rId19" Type="http://schemas.openxmlformats.org/officeDocument/2006/relationships/hyperlink" Target="https://login.consultant.ru/link/?req=doc&amp;base=MARB&amp;n=2850196" TargetMode="External"/><Relationship Id="rId14" Type="http://schemas.openxmlformats.org/officeDocument/2006/relationships/hyperlink" Target="https://login.consultant.ru/link/?req=doc&amp;base=MARB&amp;n=2727728" TargetMode="External"/><Relationship Id="rId22" Type="http://schemas.openxmlformats.org/officeDocument/2006/relationships/hyperlink" Target="https://login.consultant.ru/link/?req=doc&amp;base=RZR&amp;n=402302&amp;dst=904" TargetMode="External"/><Relationship Id="rId27" Type="http://schemas.openxmlformats.org/officeDocument/2006/relationships/hyperlink" Target="https://login.consultant.ru/link/?req=doc&amp;base=RZR&amp;n=443762&amp;dst=10513" TargetMode="External"/><Relationship Id="rId30" Type="http://schemas.openxmlformats.org/officeDocument/2006/relationships/hyperlink" Target="https://login.consultant.ru/link/?req=doc&amp;base=RZR&amp;n=425478&amp;dst=240" TargetMode="External"/><Relationship Id="rId35" Type="http://schemas.openxmlformats.org/officeDocument/2006/relationships/hyperlink" Target="https://login.consultant.ru/link/?req=doc&amp;base=RZR&amp;n=402302&amp;dst=174" TargetMode="External"/><Relationship Id="rId43" Type="http://schemas.openxmlformats.org/officeDocument/2006/relationships/hyperlink" Target="https://login.consultant.ru/link/?req=doc&amp;base=RZR&amp;n=402302&amp;dst=780" TargetMode="External"/><Relationship Id="rId48" Type="http://schemas.openxmlformats.org/officeDocument/2006/relationships/hyperlink" Target="https://login.consultant.ru/link/?req=doc&amp;base=RZR&amp;n=402302&amp;dst=784" TargetMode="External"/><Relationship Id="rId56" Type="http://schemas.openxmlformats.org/officeDocument/2006/relationships/hyperlink" Target="https://login.consultant.ru/link/?req=doc&amp;base=RZR&amp;n=402302&amp;dst=904" TargetMode="External"/><Relationship Id="rId64" Type="http://schemas.openxmlformats.org/officeDocument/2006/relationships/fontTable" Target="fontTable.xml"/><Relationship Id="rId8" Type="http://schemas.openxmlformats.org/officeDocument/2006/relationships/hyperlink" Target="https://login.consultant.ru/link/?req=doc&amp;base=MARB&amp;n=2850196" TargetMode="External"/><Relationship Id="rId51" Type="http://schemas.openxmlformats.org/officeDocument/2006/relationships/hyperlink" Target="https://login.consultant.ru/link/?req=doc&amp;base=RZR&amp;n=402302&amp;dst=800" TargetMode="External"/><Relationship Id="rId3" Type="http://schemas.openxmlformats.org/officeDocument/2006/relationships/webSettings" Target="webSettings.xml"/><Relationship Id="rId12" Type="http://schemas.openxmlformats.org/officeDocument/2006/relationships/hyperlink" Target="https://login.consultant.ru/link/?req=doc&amp;base=MARB&amp;n=2490891" TargetMode="External"/><Relationship Id="rId17" Type="http://schemas.openxmlformats.org/officeDocument/2006/relationships/hyperlink" Target="https://login.consultant.ru/link/?req=doc&amp;base=MARB&amp;n=2727728" TargetMode="External"/><Relationship Id="rId25" Type="http://schemas.openxmlformats.org/officeDocument/2006/relationships/hyperlink" Target="https://login.consultant.ru/link/?req=doc&amp;base=AMS&amp;n=540331" TargetMode="External"/><Relationship Id="rId33" Type="http://schemas.openxmlformats.org/officeDocument/2006/relationships/hyperlink" Target="https://login.consultant.ru/link/?req=doc&amp;base=RZR&amp;n=402302&amp;dst=783" TargetMode="External"/><Relationship Id="rId38" Type="http://schemas.openxmlformats.org/officeDocument/2006/relationships/hyperlink" Target="https://login.consultant.ru/link/?req=doc&amp;base=RZR&amp;n=402302&amp;dst=800" TargetMode="External"/><Relationship Id="rId46" Type="http://schemas.openxmlformats.org/officeDocument/2006/relationships/hyperlink" Target="https://login.consultant.ru/link/?req=doc&amp;base=RZR&amp;n=402302&amp;dst=785" TargetMode="External"/><Relationship Id="rId59" Type="http://schemas.openxmlformats.org/officeDocument/2006/relationships/hyperlink" Target="https://login.consultant.ru/link/?req=doc&amp;base=RZR&amp;n=495133&amp;dst=796" TargetMode="External"/><Relationship Id="rId20" Type="http://schemas.openxmlformats.org/officeDocument/2006/relationships/hyperlink" Target="https://login.consultant.ru/link/?req=doc&amp;base=MARB&amp;n=2490891" TargetMode="External"/><Relationship Id="rId41" Type="http://schemas.openxmlformats.org/officeDocument/2006/relationships/hyperlink" Target="https://login.consultant.ru/link/?req=doc&amp;base=RZR&amp;n=402302&amp;dst=918" TargetMode="External"/><Relationship Id="rId54" Type="http://schemas.openxmlformats.org/officeDocument/2006/relationships/hyperlink" Target="https://login.consultant.ru/link/?req=doc&amp;base=RZR&amp;n=402302&amp;dst=100013" TargetMode="External"/><Relationship Id="rId62" Type="http://schemas.openxmlformats.org/officeDocument/2006/relationships/hyperlink" Target="https://login.consultant.ru/link/?req=doc&amp;base=MARB&amp;n=2727728" TargetMode="External"/><Relationship Id="rId1" Type="http://schemas.openxmlformats.org/officeDocument/2006/relationships/styles" Target="styles.xml"/><Relationship Id="rId6" Type="http://schemas.openxmlformats.org/officeDocument/2006/relationships/hyperlink" Target="https://login.consultant.ru/link/?req=doc&amp;base=MARB&amp;n=2727728" TargetMode="External"/><Relationship Id="rId15" Type="http://schemas.openxmlformats.org/officeDocument/2006/relationships/hyperlink" Target="https://login.consultant.ru/link/?req=doc&amp;base=AMS&amp;n=540331" TargetMode="External"/><Relationship Id="rId23" Type="http://schemas.openxmlformats.org/officeDocument/2006/relationships/hyperlink" Target="https://login.consultant.ru/link/?req=doc&amp;base=ARB&amp;n=847398" TargetMode="External"/><Relationship Id="rId28" Type="http://schemas.openxmlformats.org/officeDocument/2006/relationships/hyperlink" Target="https://login.consultant.ru/link/?req=doc&amp;base=RZR&amp;n=425478&amp;dst=100064" TargetMode="External"/><Relationship Id="rId36" Type="http://schemas.openxmlformats.org/officeDocument/2006/relationships/hyperlink" Target="https://login.consultant.ru/link/?req=doc&amp;base=RZR&amp;n=402302&amp;dst=785" TargetMode="External"/><Relationship Id="rId49" Type="http://schemas.openxmlformats.org/officeDocument/2006/relationships/hyperlink" Target="https://login.consultant.ru/link/?req=doc&amp;base=RZR&amp;n=402302&amp;dst=799" TargetMode="External"/><Relationship Id="rId57" Type="http://schemas.openxmlformats.org/officeDocument/2006/relationships/hyperlink" Target="https://login.consultant.ru/link/?req=doc&amp;base=RZR&amp;n=402302&amp;dst=800" TargetMode="External"/><Relationship Id="rId10" Type="http://schemas.openxmlformats.org/officeDocument/2006/relationships/hyperlink" Target="https://login.consultant.ru/link/?req=doc&amp;base=AMS&amp;n=502282" TargetMode="External"/><Relationship Id="rId31" Type="http://schemas.openxmlformats.org/officeDocument/2006/relationships/hyperlink" Target="https://login.consultant.ru/link/?req=doc&amp;base=RZR&amp;n=402302&amp;dst=100357" TargetMode="External"/><Relationship Id="rId44" Type="http://schemas.openxmlformats.org/officeDocument/2006/relationships/hyperlink" Target="https://login.consultant.ru/link/?req=doc&amp;base=RZR&amp;n=402302&amp;dst=783" TargetMode="External"/><Relationship Id="rId52" Type="http://schemas.openxmlformats.org/officeDocument/2006/relationships/hyperlink" Target="https://login.consultant.ru/link/?req=doc&amp;base=RZR&amp;n=402302&amp;dst=904" TargetMode="External"/><Relationship Id="rId60" Type="http://schemas.openxmlformats.org/officeDocument/2006/relationships/hyperlink" Target="https://login.consultant.ru/link/?req=doc&amp;base=RZR&amp;n=495133&amp;dst=825"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MARB&amp;n=2490891" TargetMode="External"/><Relationship Id="rId13" Type="http://schemas.openxmlformats.org/officeDocument/2006/relationships/hyperlink" Target="https://login.consultant.ru/link/?req=doc&amp;base=MARB&amp;n=2850197" TargetMode="External"/><Relationship Id="rId18" Type="http://schemas.openxmlformats.org/officeDocument/2006/relationships/hyperlink" Target="https://login.consultant.ru/link/?req=doc&amp;base=AMS&amp;n=540331" TargetMode="External"/><Relationship Id="rId39" Type="http://schemas.openxmlformats.org/officeDocument/2006/relationships/hyperlink" Target="https://login.consultant.ru/link/?req=doc&amp;base=RZR&amp;n=402302&amp;dst=8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2936</Words>
  <Characters>16738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Анастасия Владимировна</dc:creator>
  <cp:keywords/>
  <dc:description/>
  <cp:lastModifiedBy>Федорова Анастасия Владимировна</cp:lastModifiedBy>
  <cp:revision>1</cp:revision>
  <cp:lastPrinted>2025-09-16T10:01:00Z</cp:lastPrinted>
  <dcterms:created xsi:type="dcterms:W3CDTF">2025-09-16T10:01:00Z</dcterms:created>
  <dcterms:modified xsi:type="dcterms:W3CDTF">2025-09-16T10:01:00Z</dcterms:modified>
</cp:coreProperties>
</file>